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74" w:rsidRPr="00DD624D" w:rsidRDefault="00325474" w:rsidP="00325474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36"/>
          <w:lang w:eastAsia="tr-TR"/>
        </w:rPr>
      </w:pPr>
    </w:p>
    <w:p w:rsidR="00325474" w:rsidRPr="00DD624D" w:rsidRDefault="00325474" w:rsidP="00325474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36"/>
          <w:lang w:eastAsia="tr-TR"/>
        </w:rPr>
      </w:pPr>
      <w:r w:rsidRPr="00DD624D">
        <w:rPr>
          <w:rFonts w:ascii="Arial" w:eastAsia="Times New Roman" w:hAnsi="Arial" w:cs="Arial"/>
          <w:b/>
          <w:bCs/>
          <w:color w:val="000000"/>
          <w:kern w:val="36"/>
          <w:sz w:val="24"/>
          <w:szCs w:val="36"/>
          <w:lang w:eastAsia="tr-TR"/>
        </w:rPr>
        <w:t>TİM, TÜRKİYE'NİN İLK İNOVASYON GELİŞTİME PROGRAMI OLAN "İNOVALİG"İ HAYATA GEÇİRİYOR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25474" w:rsidRPr="00DD624D" w:rsidTr="00B51C15">
        <w:tc>
          <w:tcPr>
            <w:tcW w:w="0" w:type="auto"/>
            <w:shd w:val="clear" w:color="auto" w:fill="FFFFFF"/>
            <w:hideMark/>
          </w:tcPr>
          <w:p w:rsidR="00325474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Türkiye İhracatçılar Meclisi (TİM), Türkiye'nin ilk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geliştirme programını hayata geçiriyor. Türkiye'de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ekosistemini destekleme amacıyla uluslararası danışmanlık firması A.T.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Kearney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işbirliğiyle oluşturulacak </w:t>
            </w:r>
            <w:proofErr w:type="spellStart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İnovalig</w:t>
            </w:r>
            <w:proofErr w:type="spellEnd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 xml:space="preserve"> projesi, Türkiye'nin </w:t>
            </w:r>
            <w:proofErr w:type="spellStart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 xml:space="preserve"> Liderlerini belirleyecek</w:t>
            </w: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. Avrupa'da 17 ülkede uygulanan ve A.T.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Kearney'in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17 ülkede koordinasyonunu sağladığı IMP</w:t>
            </w:r>
            <w:r w:rsidRPr="00DD624D">
              <w:rPr>
                <w:rFonts w:ascii="Arial" w:eastAsia="Times New Roman" w:hAnsi="Arial" w:cs="Arial"/>
                <w:sz w:val="22"/>
                <w:szCs w:val="24"/>
                <w:vertAlign w:val="superscript"/>
                <w:lang w:eastAsia="tr-TR"/>
              </w:rPr>
              <w:t>3</w:t>
            </w: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rove programına paralel bir kurguyla geliştirilecek projede Türkiye'nin farklı kategorilerde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lideri firmaları belirlenecek.</w:t>
            </w: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</w:p>
          <w:p w:rsidR="00325474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hyperlink r:id="rId9" w:tgtFrame="_blank" w:history="1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Türkiye'nin yaratıcılık potansiyelini, doğru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yönetim yetkinlikleri ile katma-değere dönüştürmeyi hedefleyen TİM, bu proje ile şirketlerin organizasyonları ve günlük operasyonlarına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kültürünü yerleştirmeleri için oldukça önemli bir fırsat sunuyor. Türkiye İhracatçılar Meclisi,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yönetimi ile ilgili yaptığı uluslararası çalışmalar ve sahip olduğu küresel ağ ile bu konuda lider danışmanlık firması A.T.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Kearney'nin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tecrübelerinden ve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yönetimi uygulamalarından faydalanarak, Türkiye'deki firmaların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yetkinliklerini artırmayı hedefliyor.</w:t>
            </w: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</w:p>
          <w:p w:rsidR="00325474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proofErr w:type="spellStart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İnovalig</w:t>
            </w:r>
            <w:proofErr w:type="spellEnd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 </w:t>
            </w: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projesi ile Türkiye'deki firmaların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karneleri çıkarılarak her yılın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şampiyonları belirlenecek. Uluslararası </w:t>
            </w:r>
            <w:proofErr w:type="gram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kriterler</w:t>
            </w:r>
            <w:proofErr w:type="gram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esas alınarak firmaların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yetkinliklerinin belirleneceği çalışma, aynı zamanda 2014 yılında düzenlenecek Türkiye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Haftası'ndaki en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inovatif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şirket ödüllerinin de temelini oluşturacak ve sürekli bir gündem yaratma hedefiyle gelenekselleşecek.</w:t>
            </w: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</w:p>
          <w:p w:rsidR="00325474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Bu dev projenin ilk duyurusu, 28-30 Kasım 2013 tarihlerinde İstanbul'da düzenlenen Türkiye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Haftası ile yapıldı ve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Haftası'nda açılan TİM standında 80'in üzerinde firmanın ön kaydı alındı.</w:t>
            </w:r>
            <w:r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İnovalig'de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yarışacak firmalar, ilk aşamada bir anket değerlendirmesinden geçecekler. İlk aşama süresince, haftalık ve aylık bildirimler, eğitim materyalleri, konferanslar düzenlenerek, katılımcı firmaların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yetkinliklerini artırmaya yönelik adımlar atılacak. İlk aşama sonucunda, katılımcı her bir firma yaklaşık 100 sayfalık, kendi yetkinliklerinin, yerel ve uluslararası pazarlardaki benzerleri ile karşılaştırıldığı bir </w:t>
            </w:r>
            <w:proofErr w:type="gram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benchmarking</w:t>
            </w:r>
            <w:proofErr w:type="gram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raporuna sahip olacak. Firmalar, bu </w:t>
            </w:r>
            <w:proofErr w:type="gram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benchmarking</w:t>
            </w:r>
            <w:proofErr w:type="gram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raporu ile, A.T.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Kearney'nin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"House of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Innovation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” adındaki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yönetimi metodolojisinde kullandığı 5 kategori çerçevesinde kendi yetkinliklerini değerlendirme şansını elde edecekler. Bu 5 kategori ise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Stratejisi, Organizasyon ve Kültür,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yaşam döngüsü süreci,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Etkinleştirici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faktörler ve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sonuçlarından oluşuyor.</w:t>
            </w: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</w:p>
          <w:p w:rsidR="00325474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Anketler sonrasında, en iyi skora sahip 250 firma ilk tur etkinliğine davet edilecek. Etkinliğin ardından, firmaların raporlarının incelenmesi ile 5 farklı kategoride seçilecek 50 firma, yarı finallere katılmaya hak kazanacak. Yarı finalistler, önümüzdeki sene Eylül ayında düzenlenecek bir organizasyonda, 15'er dakikalık,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yönetimi yaklaşımlarını anlatan sunumlar yapacaklar. Bu sunumlar sonucunda her kategoride seçilecek 5 firma, toplamda 25 firma finalde yarışmaya hak kazanacak.</w:t>
            </w: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</w:p>
          <w:p w:rsidR="00325474" w:rsidRPr="00DD624D" w:rsidRDefault="00325474" w:rsidP="00B51C15">
            <w:pPr>
              <w:rPr>
                <w:rFonts w:ascii="Arial" w:eastAsia="Times New Roman" w:hAnsi="Arial" w:cs="Arial"/>
                <w:sz w:val="22"/>
                <w:szCs w:val="24"/>
                <w:lang w:eastAsia="tr-TR"/>
              </w:rPr>
            </w:pP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Finalistler, 2014 Türkiye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Haftası'nda büyük jüri önünde yarışacak ve 5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kategorisindeki Türkiye'nin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Şampiyonları belirlenecek. Ayrıca her kategoriden 3'er firma ülkemizi </w:t>
            </w:r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"</w:t>
            </w:r>
            <w:proofErr w:type="spellStart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>İnovasyon</w:t>
            </w:r>
            <w:proofErr w:type="spellEnd"/>
            <w:r w:rsidRPr="00DD624D">
              <w:rPr>
                <w:rFonts w:ascii="Arial" w:eastAsia="Times New Roman" w:hAnsi="Arial" w:cs="Arial"/>
                <w:b/>
                <w:bCs/>
                <w:sz w:val="22"/>
                <w:szCs w:val="24"/>
                <w:lang w:eastAsia="tr-TR"/>
              </w:rPr>
              <w:t xml:space="preserve"> Ligi Avrupa Şampiyonasında”</w:t>
            </w:r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 temsil etme şansı yakalayacak. Şampiyonada yer almak isteyen firmalar, etkinlik web sitesinden </w:t>
            </w:r>
            <w:proofErr w:type="gram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online</w:t>
            </w:r>
            <w:proofErr w:type="gram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kayıt yaparak 31 Mayıs 2014 tarihine kadar </w:t>
            </w:r>
            <w:proofErr w:type="spellStart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>inovasyon</w:t>
            </w:r>
            <w:proofErr w:type="spellEnd"/>
            <w:r w:rsidRPr="00DD624D">
              <w:rPr>
                <w:rFonts w:ascii="Arial" w:eastAsia="Times New Roman" w:hAnsi="Arial" w:cs="Arial"/>
                <w:sz w:val="22"/>
                <w:szCs w:val="24"/>
                <w:lang w:eastAsia="tr-TR"/>
              </w:rPr>
              <w:t xml:space="preserve"> anketini doldurabilecek.</w:t>
            </w:r>
          </w:p>
          <w:p w:rsidR="00325474" w:rsidRPr="00DD624D" w:rsidRDefault="00325474" w:rsidP="00B51C15">
            <w:pPr>
              <w:outlineLvl w:val="1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9"/>
                <w:lang w:eastAsia="tr-TR"/>
              </w:rPr>
            </w:pPr>
            <w:hyperlink r:id="rId10" w:tgtFrame="_blank" w:history="1">
              <w:r w:rsidRPr="00DD624D">
                <w:rPr>
                  <w:rFonts w:ascii="Arial" w:eastAsia="Times New Roman" w:hAnsi="Arial" w:cs="Arial"/>
                  <w:b/>
                  <w:bCs/>
                  <w:color w:val="0066CC"/>
                  <w:sz w:val="24"/>
                  <w:szCs w:val="29"/>
                  <w:u w:val="single"/>
                  <w:lang w:eastAsia="tr-TR"/>
                </w:rPr>
                <w:t>ÖN KAYIT İÇİN: www.inovalig.com</w:t>
              </w:r>
            </w:hyperlink>
          </w:p>
        </w:tc>
      </w:tr>
    </w:tbl>
    <w:p w:rsidR="00A40F83" w:rsidRPr="00325474" w:rsidRDefault="00A40F83" w:rsidP="00325474">
      <w:bookmarkStart w:id="0" w:name="_GoBack"/>
      <w:bookmarkEnd w:id="0"/>
    </w:p>
    <w:sectPr w:rsidR="00A40F83" w:rsidRPr="00325474" w:rsidSect="006A2507">
      <w:headerReference w:type="default" r:id="rId11"/>
      <w:footerReference w:type="defaul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A2" w:rsidRDefault="008D5FA2" w:rsidP="002542D7">
      <w:r>
        <w:separator/>
      </w:r>
    </w:p>
  </w:endnote>
  <w:endnote w:type="continuationSeparator" w:id="0">
    <w:p w:rsidR="008D5FA2" w:rsidRDefault="008D5FA2" w:rsidP="002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D7" w:rsidRDefault="006A2507" w:rsidP="006A2507">
    <w:pPr>
      <w:pStyle w:val="Altbilgi"/>
      <w:ind w:hanging="192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AD2E47" wp14:editId="17D5142A">
              <wp:simplePos x="0" y="0"/>
              <wp:positionH relativeFrom="column">
                <wp:posOffset>5607685</wp:posOffset>
              </wp:positionH>
              <wp:positionV relativeFrom="paragraph">
                <wp:posOffset>18415</wp:posOffset>
              </wp:positionV>
              <wp:extent cx="734060" cy="1120140"/>
              <wp:effectExtent l="0" t="0" r="0" b="3810"/>
              <wp:wrapNone/>
              <wp:docPr id="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120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2277" w:rsidRDefault="006A2507" w:rsidP="006A2507">
                          <w:r>
                            <w:rPr>
                              <w:noProof/>
                              <w:lang w:eastAsia="tr-TR"/>
                            </w:rPr>
                            <w:ptab w:relativeTo="margin" w:alignment="left" w:leader="none"/>
                          </w:r>
                          <w:r w:rsidR="00982277"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6B8A72B4" wp14:editId="395F47A5">
                                <wp:extent cx="542822" cy="878513"/>
                                <wp:effectExtent l="0" t="0" r="0" b="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ntetli_tag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2822" cy="878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41.55pt;margin-top:1.45pt;width:57.8pt;height:8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" filled="f" stroked="f">
              <v:textbox>
                <w:txbxContent>
                  <w:p w:rsidR="00982277" w:rsidRDefault="006A2507" w:rsidP="006A2507">
                    <w:r>
                      <w:rPr>
                        <w:noProof/>
                        <w:lang w:eastAsia="tr-TR"/>
                      </w:rPr>
                      <w:ptab w:relativeTo="margin" w:alignment="left" w:leader="none"/>
                    </w:r>
                    <w:r w:rsidR="00982277">
                      <w:rPr>
                        <w:noProof/>
                        <w:lang w:eastAsia="tr-TR"/>
                      </w:rPr>
                      <w:drawing>
                        <wp:inline distT="0" distB="0" distL="0" distR="0" wp14:anchorId="6B8A72B4" wp14:editId="395F47A5">
                          <wp:extent cx="542822" cy="878513"/>
                          <wp:effectExtent l="0" t="0" r="0" b="0"/>
                          <wp:docPr id="8" name="Resi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ntetli_tag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822" cy="878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166DBD" wp14:editId="3F7CE5B8">
              <wp:simplePos x="0" y="0"/>
              <wp:positionH relativeFrom="column">
                <wp:posOffset>3950970</wp:posOffset>
              </wp:positionH>
              <wp:positionV relativeFrom="paragraph">
                <wp:posOffset>153035</wp:posOffset>
              </wp:positionV>
              <wp:extent cx="1371600" cy="77152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429" w:rsidRPr="009254D6" w:rsidRDefault="00463429" w:rsidP="00463429">
                          <w:pP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e-mail: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tim@tim.</w:t>
                          </w:r>
                          <w:proofErr w:type="gramStart"/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org.tr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Web</w:t>
                          </w:r>
                          <w:proofErr w:type="gram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: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www.tim.org.tr/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11.1pt;margin-top:12.05pt;width:108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" filled="f" stroked="f">
              <v:textbox>
                <w:txbxContent>
                  <w:p w:rsidR="00463429" w:rsidRPr="009254D6" w:rsidRDefault="00463429" w:rsidP="00463429">
                    <w:pP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e-mail: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tim@tim.</w:t>
                    </w:r>
                    <w:proofErr w:type="gramStart"/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org.tr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Web</w:t>
                    </w:r>
                    <w:proofErr w:type="gramEnd"/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: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www.tim.org.tr/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859990" wp14:editId="6160FB5B">
              <wp:simplePos x="0" y="0"/>
              <wp:positionH relativeFrom="column">
                <wp:posOffset>2181225</wp:posOffset>
              </wp:positionH>
              <wp:positionV relativeFrom="paragraph">
                <wp:posOffset>164465</wp:posOffset>
              </wp:positionV>
              <wp:extent cx="1371600" cy="981075"/>
              <wp:effectExtent l="0" t="0" r="0" b="0"/>
              <wp:wrapNone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429" w:rsidRDefault="00463429" w:rsidP="00463429">
                          <w:pPr>
                            <w:spacing w:line="192" w:lineRule="auto"/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Ceyhun </w:t>
                          </w:r>
                          <w:proofErr w:type="spellStart"/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Atuf</w:t>
                          </w:r>
                          <w:proofErr w:type="spellEnd"/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Kansu Cad. No:120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63429" w:rsidRDefault="00463429" w:rsidP="00463429">
                          <w:pPr>
                            <w:spacing w:line="192" w:lineRule="auto"/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Balgat-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Ç</w:t>
                          </w: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ankaya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-</w:t>
                          </w: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ANKARA</w:t>
                          </w:r>
                        </w:p>
                        <w:p w:rsidR="00463429" w:rsidRPr="009254D6" w:rsidRDefault="00463429" w:rsidP="00463429">
                          <w:pPr>
                            <w:spacing w:line="192" w:lineRule="auto"/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Tel: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(+90 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312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)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472 05 </w:t>
                          </w:r>
                          <w:proofErr w:type="gramStart"/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60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Fax</w:t>
                          </w:r>
                          <w:proofErr w:type="spellEnd"/>
                          <w:proofErr w:type="gram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: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(+90 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312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)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4DB5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472 05 85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1.75pt;margin-top:12.95pt;width:108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" filled="f" stroked="f">
              <v:textbox>
                <w:txbxContent>
                  <w:p w:rsidR="00463429" w:rsidRDefault="00463429" w:rsidP="00463429">
                    <w:pPr>
                      <w:spacing w:line="192" w:lineRule="auto"/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Ceyhun </w:t>
                    </w:r>
                    <w:proofErr w:type="spellStart"/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Atuf</w:t>
                    </w:r>
                    <w:proofErr w:type="spellEnd"/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Kansu Cad. No:120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:rsidR="00463429" w:rsidRDefault="00463429" w:rsidP="00463429">
                    <w:pPr>
                      <w:spacing w:line="192" w:lineRule="auto"/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Balgat-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Ç</w:t>
                    </w: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ankaya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-</w:t>
                    </w: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ANKARA</w:t>
                    </w:r>
                  </w:p>
                  <w:p w:rsidR="00463429" w:rsidRPr="009254D6" w:rsidRDefault="00463429" w:rsidP="00463429">
                    <w:pPr>
                      <w:spacing w:line="192" w:lineRule="auto"/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Tel: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(+90 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312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)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472 05 </w:t>
                    </w:r>
                    <w:proofErr w:type="gramStart"/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60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proofErr w:type="spellStart"/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Fax</w:t>
                    </w:r>
                    <w:proofErr w:type="spellEnd"/>
                    <w:proofErr w:type="gramEnd"/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: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(+90 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312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)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AF4DB5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472 05 85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7CE4A" wp14:editId="3AD1CCDE">
              <wp:simplePos x="0" y="0"/>
              <wp:positionH relativeFrom="column">
                <wp:posOffset>-487680</wp:posOffset>
              </wp:positionH>
              <wp:positionV relativeFrom="paragraph">
                <wp:posOffset>153670</wp:posOffset>
              </wp:positionV>
              <wp:extent cx="2857500" cy="760730"/>
              <wp:effectExtent l="0" t="0" r="0" b="127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54D6" w:rsidRDefault="00AA5963">
                          <w:pP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Dış Ticaret </w:t>
                          </w:r>
                          <w:proofErr w:type="gramStart"/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Kompleksi  </w:t>
                          </w:r>
                          <w:proofErr w:type="spellStart"/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Çobançeşme</w:t>
                          </w:r>
                          <w:proofErr w:type="spellEnd"/>
                          <w:proofErr w:type="gramEnd"/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Mevkii</w:t>
                          </w:r>
                          <w:r w:rsidR="00AE3E52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:rsidR="009254D6" w:rsidRDefault="00AA5963">
                          <w:pP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Sanayi Cad. </w:t>
                          </w:r>
                          <w:r w:rsidR="00AE3E52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B Blok Kat:9 </w:t>
                          </w:r>
                          <w:proofErr w:type="spellStart"/>
                          <w:r w:rsidR="00AE3E52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Yenibosna</w:t>
                          </w:r>
                          <w:proofErr w:type="spellEnd"/>
                          <w:r w:rsidR="00AE3E52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-İSTANBUL               </w:t>
                          </w:r>
                        </w:p>
                        <w:p w:rsidR="009254D6" w:rsidRDefault="009254D6">
                          <w:pP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Tel:</w:t>
                          </w:r>
                          <w:r w:rsidR="00AA5963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AA5963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>(+90 212) 454 04 71 / (+90 212) 454 04 90</w:t>
                          </w:r>
                          <w:r w:rsidR="00AE3E52"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AA5963" w:rsidRPr="009254D6" w:rsidRDefault="00AA5963">
                          <w:pPr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9254D6"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F</w:t>
                          </w:r>
                          <w:r w:rsidR="009254D6">
                            <w:rPr>
                              <w:rFonts w:ascii="Arial Unicode MS" w:eastAsia="Arial Unicode MS" w:hAnsi="Arial Unicode MS" w:cs="Arial Unicode MS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>aks:</w:t>
                          </w:r>
                          <w:r w:rsidRPr="009254D6">
                            <w:rPr>
                              <w:rFonts w:ascii="Arial Unicode MS" w:eastAsia="Arial Unicode MS" w:hAnsi="Arial Unicode MS" w:cs="Arial Unicode MS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(+90 212) 454 04 13 / (+90 212) 454 04 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8.4pt;margin-top:12.1pt;width:225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" filled="f" stroked="f">
              <v:textbox>
                <w:txbxContent>
                  <w:p w:rsidR="009254D6" w:rsidRDefault="00AA5963">
                    <w:pP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Dış Ticaret </w:t>
                    </w:r>
                    <w:proofErr w:type="gramStart"/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Kompleksi  </w:t>
                    </w:r>
                    <w:proofErr w:type="spellStart"/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Çobançeşme</w:t>
                    </w:r>
                    <w:proofErr w:type="spellEnd"/>
                    <w:proofErr w:type="gramEnd"/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Mevkii</w:t>
                    </w:r>
                    <w:r w:rsidR="00AE3E52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  </w:t>
                    </w:r>
                  </w:p>
                  <w:p w:rsidR="009254D6" w:rsidRDefault="00AA5963">
                    <w:pP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Sanayi Cad. </w:t>
                    </w:r>
                    <w:r w:rsidR="00AE3E52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B Blok Kat:9 </w:t>
                    </w:r>
                    <w:proofErr w:type="spellStart"/>
                    <w:r w:rsidR="00AE3E52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Yenibosna</w:t>
                    </w:r>
                    <w:proofErr w:type="spellEnd"/>
                    <w:r w:rsidR="00AE3E52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-İSTANBUL               </w:t>
                    </w:r>
                  </w:p>
                  <w:p w:rsidR="009254D6" w:rsidRDefault="009254D6">
                    <w:pP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Tel:</w:t>
                    </w:r>
                    <w:r w:rsidR="00AA5963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</w:t>
                    </w:r>
                    <w:r w:rsidR="00AA5963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>(+90 212) 454 04 71 / (+90 212) 454 04 90</w:t>
                    </w:r>
                    <w:r w:rsidR="00AE3E52"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 </w:t>
                    </w:r>
                  </w:p>
                  <w:p w:rsidR="00AA5963" w:rsidRPr="009254D6" w:rsidRDefault="00AA5963">
                    <w:pPr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</w:pPr>
                    <w:r w:rsidRPr="009254D6"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F</w:t>
                    </w:r>
                    <w:r w:rsidR="009254D6">
                      <w:rPr>
                        <w:rFonts w:ascii="Arial Unicode MS" w:eastAsia="Arial Unicode MS" w:hAnsi="Arial Unicode MS" w:cs="Arial Unicode MS"/>
                        <w:b/>
                        <w:color w:val="7F7F7F" w:themeColor="text1" w:themeTint="80"/>
                        <w:sz w:val="16"/>
                        <w:szCs w:val="16"/>
                      </w:rPr>
                      <w:t>aks:</w:t>
                    </w:r>
                    <w:r w:rsidRPr="009254D6">
                      <w:rPr>
                        <w:rFonts w:ascii="Arial Unicode MS" w:eastAsia="Arial Unicode MS" w:hAnsi="Arial Unicode MS" w:cs="Arial Unicode MS"/>
                        <w:color w:val="7F7F7F" w:themeColor="text1" w:themeTint="80"/>
                        <w:sz w:val="16"/>
                        <w:szCs w:val="16"/>
                      </w:rPr>
                      <w:t xml:space="preserve">  (+90 212) 454 04 13 / (+90 212) 454 04 83</w:t>
                    </w:r>
                  </w:p>
                </w:txbxContent>
              </v:textbox>
            </v:shape>
          </w:pict>
        </mc:Fallback>
      </mc:AlternateContent>
    </w:r>
    <w:r w:rsidR="00AA5963">
      <w:rPr>
        <w:noProof/>
        <w:lang w:eastAsia="tr-TR"/>
      </w:rPr>
      <w:drawing>
        <wp:inline distT="0" distB="0" distL="0" distR="0" wp14:anchorId="79B548E2" wp14:editId="3AB9F539">
          <wp:extent cx="7924800" cy="10477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li_alt_kisi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327" cy="1055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A2" w:rsidRDefault="008D5FA2" w:rsidP="002542D7">
      <w:r>
        <w:separator/>
      </w:r>
    </w:p>
  </w:footnote>
  <w:footnote w:type="continuationSeparator" w:id="0">
    <w:p w:rsidR="008D5FA2" w:rsidRDefault="008D5FA2" w:rsidP="0025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D7" w:rsidRDefault="002542D7" w:rsidP="006A2507">
    <w:pPr>
      <w:pStyle w:val="stbilgi"/>
      <w:ind w:hanging="1417"/>
      <w:jc w:val="both"/>
      <w:rPr>
        <w:color w:val="365F91" w:themeColor="accent1" w:themeShade="BF"/>
      </w:rPr>
    </w:pPr>
    <w:r>
      <w:rPr>
        <w:noProof/>
        <w:color w:val="4F81BD" w:themeColor="accent1"/>
        <w:lang w:eastAsia="tr-TR"/>
      </w:rPr>
      <w:drawing>
        <wp:inline distT="0" distB="0" distL="0" distR="0" wp14:anchorId="22785CCD" wp14:editId="7E8CF6BE">
          <wp:extent cx="7553325" cy="892479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li_en_u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94" cy="89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42D7" w:rsidRDefault="002542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4F9"/>
    <w:multiLevelType w:val="hybridMultilevel"/>
    <w:tmpl w:val="5E8C84E0"/>
    <w:lvl w:ilvl="0" w:tplc="3AAA1C8A">
      <w:numFmt w:val="bullet"/>
      <w:lvlText w:val="•"/>
      <w:lvlJc w:val="left"/>
      <w:pPr>
        <w:ind w:left="87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923C71"/>
    <w:multiLevelType w:val="hybridMultilevel"/>
    <w:tmpl w:val="6A0CACC4"/>
    <w:lvl w:ilvl="0" w:tplc="8A6838C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F3BB8"/>
    <w:multiLevelType w:val="hybridMultilevel"/>
    <w:tmpl w:val="60340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D7"/>
    <w:rsid w:val="00204FE5"/>
    <w:rsid w:val="002542D7"/>
    <w:rsid w:val="002865BC"/>
    <w:rsid w:val="002F560D"/>
    <w:rsid w:val="00303876"/>
    <w:rsid w:val="00312AED"/>
    <w:rsid w:val="00325474"/>
    <w:rsid w:val="003264D6"/>
    <w:rsid w:val="00442814"/>
    <w:rsid w:val="00463429"/>
    <w:rsid w:val="004E3202"/>
    <w:rsid w:val="00525393"/>
    <w:rsid w:val="005C7226"/>
    <w:rsid w:val="00656167"/>
    <w:rsid w:val="006A2507"/>
    <w:rsid w:val="007201B0"/>
    <w:rsid w:val="0075684F"/>
    <w:rsid w:val="007F635D"/>
    <w:rsid w:val="00851551"/>
    <w:rsid w:val="008771FD"/>
    <w:rsid w:val="008D5FA2"/>
    <w:rsid w:val="009254D6"/>
    <w:rsid w:val="00982277"/>
    <w:rsid w:val="009A484F"/>
    <w:rsid w:val="009F20DD"/>
    <w:rsid w:val="00A40F83"/>
    <w:rsid w:val="00AA0B34"/>
    <w:rsid w:val="00AA5963"/>
    <w:rsid w:val="00AE3E52"/>
    <w:rsid w:val="00BA4B7C"/>
    <w:rsid w:val="00BF0922"/>
    <w:rsid w:val="00C079D0"/>
    <w:rsid w:val="00C657D2"/>
    <w:rsid w:val="00C72F97"/>
    <w:rsid w:val="00D52C0D"/>
    <w:rsid w:val="00DB3D70"/>
    <w:rsid w:val="00E96D99"/>
    <w:rsid w:val="00E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2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42D7"/>
  </w:style>
  <w:style w:type="paragraph" w:styleId="Altbilgi">
    <w:name w:val="footer"/>
    <w:basedOn w:val="Normal"/>
    <w:link w:val="AltbilgiChar"/>
    <w:uiPriority w:val="99"/>
    <w:unhideWhenUsed/>
    <w:rsid w:val="002542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2D7"/>
  </w:style>
  <w:style w:type="paragraph" w:styleId="BalonMetni">
    <w:name w:val="Balloon Text"/>
    <w:basedOn w:val="Normal"/>
    <w:link w:val="BalonMetniChar"/>
    <w:uiPriority w:val="99"/>
    <w:semiHidden/>
    <w:unhideWhenUsed/>
    <w:rsid w:val="002542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2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4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42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42D7"/>
  </w:style>
  <w:style w:type="paragraph" w:styleId="Altbilgi">
    <w:name w:val="footer"/>
    <w:basedOn w:val="Normal"/>
    <w:link w:val="AltbilgiChar"/>
    <w:uiPriority w:val="99"/>
    <w:unhideWhenUsed/>
    <w:rsid w:val="002542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42D7"/>
  </w:style>
  <w:style w:type="paragraph" w:styleId="BalonMetni">
    <w:name w:val="Balloon Text"/>
    <w:basedOn w:val="Normal"/>
    <w:link w:val="BalonMetniChar"/>
    <w:uiPriority w:val="99"/>
    <w:semiHidden/>
    <w:unhideWhenUsed/>
    <w:rsid w:val="002542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2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A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novalig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m.org.tr/files/downloads/sunumlar/20140225_tim_inovalig_icerik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3623-A229-4762-879E-EA148713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İnce</dc:creator>
  <cp:lastModifiedBy>Okan İnce</cp:lastModifiedBy>
  <cp:revision>2</cp:revision>
  <cp:lastPrinted>2013-11-07T10:22:00Z</cp:lastPrinted>
  <dcterms:created xsi:type="dcterms:W3CDTF">2014-04-02T07:40:00Z</dcterms:created>
  <dcterms:modified xsi:type="dcterms:W3CDTF">2014-04-02T07:40:00Z</dcterms:modified>
</cp:coreProperties>
</file>